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628"/>
        <w:gridCol w:w="706"/>
        <w:gridCol w:w="601"/>
        <w:gridCol w:w="3305"/>
        <w:gridCol w:w="683"/>
        <w:gridCol w:w="1009"/>
      </w:tblGrid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Cs w:val="21"/>
              </w:rPr>
              <w:t>教研部名称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Cs w:val="21"/>
              </w:rPr>
              <w:t>岗位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Cs w:val="21"/>
              </w:rPr>
              <w:t>所需 人数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Cs w:val="21"/>
              </w:rPr>
              <w:t>专 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Cs w:val="21"/>
              </w:rPr>
              <w:t>学历</w:t>
            </w:r>
          </w:p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Cs w:val="21"/>
              </w:rPr>
              <w:t>层次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Cs w:val="21"/>
              </w:rPr>
              <w:t>备注</w:t>
            </w: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哲学教研部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教学教研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哲学及相关相近专业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中共党员</w:t>
            </w: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经济学教研部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经济学及相关相近专业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科学社会主义</w:t>
            </w:r>
          </w:p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教研部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科学社会主义及相关相近专业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中共党史教研部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中共党史（</w:t>
            </w:r>
            <w:proofErr w:type="gramStart"/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含党的</w:t>
            </w:r>
            <w:proofErr w:type="gramEnd"/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建设）及相关相近专业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党的建设教研部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党的建设、中共党史或政治学及相关相近专业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经济管理教研部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国际经济学、区域经济学、产业经济学、现代企业管理及相关相近专业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法学教研部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民事诉讼法、金融法、劳动与社会保障法及相关相近专业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公共管理教研部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应急管理、风险管理、公共管理及相关相近专业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科技文化教研部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文化学、传播学及相关相近专业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10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决策咨询部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中共党史、党的建设、政治学专业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</w:p>
        </w:tc>
      </w:tr>
      <w:tr w:rsidR="00F95823" w:rsidRPr="00F95823" w:rsidTr="00F9582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11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编辑部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校刊编辑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政治学、经济学、管理学专业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博士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中共党员或优秀学生干部</w:t>
            </w:r>
          </w:p>
        </w:tc>
      </w:tr>
      <w:tr w:rsidR="00F95823" w:rsidRPr="00F95823" w:rsidTr="00F95823">
        <w:trPr>
          <w:jc w:val="center"/>
        </w:trPr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lastRenderedPageBreak/>
              <w:t>总计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823" w:rsidRPr="00F95823" w:rsidRDefault="00F95823" w:rsidP="00F95823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color w:val="3E3E3E"/>
                <w:kern w:val="0"/>
                <w:szCs w:val="21"/>
              </w:rPr>
            </w:pPr>
            <w:r w:rsidRPr="00F95823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823" w:rsidRPr="00F95823" w:rsidRDefault="00F95823" w:rsidP="00F95823">
            <w:pPr>
              <w:widowControl/>
              <w:jc w:val="left"/>
              <w:rPr>
                <w:rFonts w:ascii="宋体" w:eastAsia="宋体" w:hAnsi="宋体" w:cs="宋体"/>
                <w:color w:val="3E3E3E"/>
                <w:kern w:val="0"/>
                <w:sz w:val="18"/>
                <w:szCs w:val="18"/>
              </w:rPr>
            </w:pPr>
          </w:p>
        </w:tc>
      </w:tr>
    </w:tbl>
    <w:p w:rsidR="00F95823" w:rsidRPr="00F95823" w:rsidRDefault="00F95823" w:rsidP="00F95823">
      <w:pPr>
        <w:widowControl/>
        <w:shd w:val="clear" w:color="auto" w:fill="FFFFFF"/>
        <w:spacing w:before="225" w:after="225" w:line="345" w:lineRule="atLeast"/>
        <w:jc w:val="left"/>
        <w:rPr>
          <w:rFonts w:ascii="宋体" w:eastAsia="宋体" w:hAnsi="宋体" w:cs="宋体"/>
          <w:color w:val="3E3E3E"/>
          <w:kern w:val="0"/>
          <w:szCs w:val="21"/>
        </w:rPr>
      </w:pPr>
      <w:r w:rsidRPr="00F95823">
        <w:rPr>
          <w:rFonts w:ascii="宋体" w:eastAsia="宋体" w:hAnsi="宋体" w:cs="宋体" w:hint="eastAsia"/>
          <w:b/>
          <w:bCs/>
          <w:color w:val="3E3E3E"/>
          <w:kern w:val="0"/>
          <w:szCs w:val="21"/>
        </w:rPr>
        <w:t xml:space="preserve">    </w:t>
      </w:r>
    </w:p>
    <w:p w:rsidR="00052806" w:rsidRPr="00F95823" w:rsidRDefault="00052806" w:rsidP="00F95823">
      <w:bookmarkStart w:id="0" w:name="_GoBack"/>
      <w:bookmarkEnd w:id="0"/>
    </w:p>
    <w:sectPr w:rsidR="00052806" w:rsidRPr="00F95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79"/>
    <w:rsid w:val="00052806"/>
    <w:rsid w:val="00307051"/>
    <w:rsid w:val="004431DE"/>
    <w:rsid w:val="00564079"/>
    <w:rsid w:val="00990FBA"/>
    <w:rsid w:val="00DB53FA"/>
    <w:rsid w:val="00E76B0E"/>
    <w:rsid w:val="00F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2021-02-27T02:57:00Z</dcterms:created>
  <dcterms:modified xsi:type="dcterms:W3CDTF">2021-02-27T02:57:00Z</dcterms:modified>
</cp:coreProperties>
</file>