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96"/>
              <w:gridCol w:w="2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48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黑体" w:hAnsi="宋体" w:eastAsia="黑体" w:cs="黑体"/>
                      <w:color w:val="000000"/>
                      <w:sz w:val="30"/>
                      <w:szCs w:val="30"/>
                      <w:u w:val="none"/>
                    </w:rPr>
                    <w:t>附件：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48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36"/>
                      <w:szCs w:val="36"/>
                      <w:u w:val="none"/>
                    </w:rPr>
                    <w:t>许昌学院2019年公开招聘工作人员一览表</w:t>
                  </w:r>
                </w:p>
                <w:tbl>
                  <w:tblPr>
                    <w:tblpPr w:vertAnchor="text" w:tblpXSpec="left"/>
                    <w:tblW w:w="4998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"/>
                    <w:gridCol w:w="2046"/>
                    <w:gridCol w:w="1914"/>
                    <w:gridCol w:w="489"/>
                    <w:gridCol w:w="2123"/>
                    <w:gridCol w:w="95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t>序号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岗位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专业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人数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学历要求</w:t>
                        </w:r>
                      </w:p>
                    </w:tc>
                    <w:tc>
                      <w:tcPr>
                        <w:tcW w:w="592" w:type="pc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岗位条件及要求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文学与传媒学院教师岗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电影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 </w:t>
                        </w:r>
                      </w:p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 </w:t>
                        </w:r>
                      </w:p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t></w:t>
                        </w:r>
                        <w:r>
                          <w:rPr>
                            <w:rFonts w:hint="default"/>
                          </w:rPr>
                          <w:t>年龄35岁以下（1983年10月以后出生），第一学历为全日制普通高等教育本科，本、硕所学专业一致或相近。</w:t>
                        </w:r>
                      </w:p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 </w:t>
                        </w:r>
                      </w:p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学校正式聘用后，需从事兼职辅导员工作四年以上。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汉语国际教育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2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法政学院教师岗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知识产权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3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外国语学院教师岗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英语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4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城乡规划与园林学院教师岗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环境景观设计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5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电气（机电）工程学院教师岗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电气工程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机械制造及其自动化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6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信息工程学院教师岗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设计艺术学（动画与数字媒体艺术方向）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控制科学与工程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7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土木工程学院教师岗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结构工程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管理科学与工程（工程造价方向）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8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食品与生物工程学院教师岗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生物制药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9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商学院教师岗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管理科学与工程（电子商务或信息管理与信息系统方向）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会计学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10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教育科学学院实验教师岗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课程与教学论（语文）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课程与教学论（数学）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11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国际教育学院教师岗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英语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电气工程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土木工程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12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音乐舞蹈学院教师岗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音乐学（钢琴伴奏）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13</w:t>
                        </w:r>
                      </w:p>
                    </w:tc>
                    <w:tc>
                      <w:tcPr>
                        <w:tcW w:w="1263" w:type="pct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医学院教师岗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生理学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3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预防医学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14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工程技术中心教师岗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机械制造及其自动化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47" w:type="pc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15</w:t>
                        </w:r>
                      </w:p>
                    </w:tc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学生心理教育咨询中心教辅岗</w:t>
                        </w:r>
                      </w:p>
                    </w:tc>
                    <w:tc>
                      <w:tcPr>
                        <w:tcW w:w="118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心理学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>普通高等教育硕士毕业生</w:t>
                        </w:r>
                      </w:p>
                    </w:tc>
                    <w:tc>
                      <w:tcPr>
                        <w:tcW w:w="592" w:type="pct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32"/>
                      <w:szCs w:val="32"/>
                      <w:u w:val="none"/>
                    </w:rPr>
                    <w:t> </w:t>
                  </w:r>
                  <w:bookmarkStart w:id="0" w:name="_GoBack"/>
                  <w:bookmarkEnd w:id="0"/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7EA9"/>
    <w:rsid w:val="14207C45"/>
    <w:rsid w:val="1EA97EA9"/>
    <w:rsid w:val="215413D7"/>
    <w:rsid w:val="44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2019-11-18T08:45:00Z</dcterms:created>
  <dc:creator>苏豪杰</dc:creator>
  <cp:lastModifiedBy>苏豪杰</cp:lastModifiedBy>
  <dcterms:modified xsi:type="dcterms:W3CDTF">2019-11-18T08:54:06Z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